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-537210</wp:posOffset>
            </wp:positionH>
            <wp:positionV relativeFrom="paragraph">
              <wp:posOffset>-337185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0"/>
          <w:szCs w:val="20"/>
          <w:lang w:val="es-AR" w:eastAsia="en-US" w:bidi="ar-SA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8281/2021 Concurso CEREP (COV) - Efectivo, cargo </w:t>
      </w:r>
      <w:r>
        <w:rPr>
          <w:b/>
          <w:sz w:val="20"/>
          <w:szCs w:val="20"/>
        </w:rPr>
        <w:t>Prof. Titular (SE),</w:t>
      </w:r>
      <w:r>
        <w:rPr>
          <w:sz w:val="20"/>
          <w:szCs w:val="20"/>
        </w:rPr>
        <w:t xml:space="preserve">  asignaturas “Modelado y Color cerámico I y II” y “Taller cerámico I y II” de las Carreras de Cerámica  -FAD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es-AR" w:eastAsia="en-US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Ricardo Enrique REYNAUD. ------------------------------------------------------------------------------------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  <w:t>MESA DE ENTRADAS, 02 de marzo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2021-10-27T14:34:00Z</dcterms:created>
  <dc:creator>mesaent</dc:creator>
  <dc:language>es-AR</dc:language>
  <cp:lastPrinted>2021-10-13T15:00:00Z</cp:lastPrinted>
  <dcterms:modified xsi:type="dcterms:W3CDTF">2022-02-23T11:58:42Z</dcterms:modified>
  <cp:revision>12</cp:revision>
</cp:coreProperties>
</file>